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962EB2" w:rsidRDefault="001E4AFA" w:rsidP="001E4AFA">
      <w:pPr>
        <w:spacing w:line="480" w:lineRule="auto"/>
        <w:jc w:val="center"/>
        <w:rPr>
          <w:rFonts w:ascii="Times New Roman" w:hAnsi="Times New Roman" w:cs="Times New Roman"/>
          <w:sz w:val="24"/>
          <w:szCs w:val="24"/>
        </w:rPr>
      </w:pPr>
      <w:r>
        <w:rPr>
          <w:rFonts w:ascii="Times New Roman" w:hAnsi="Times New Roman" w:cs="Times New Roman"/>
          <w:sz w:val="24"/>
          <w:szCs w:val="24"/>
        </w:rPr>
        <w:t>Policy Making as a Determinant of Health</w:t>
      </w:r>
    </w:p>
    <w:p w:rsidR="001E4AFA" w:rsidRDefault="001E4AFA" w:rsidP="001E4AF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E4AFA" w:rsidRDefault="001E4AFA" w:rsidP="001E4AF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1E4AFA" w:rsidRDefault="001E4AFA" w:rsidP="001E4A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E4AFA" w:rsidRDefault="001E4AFA" w:rsidP="001E4A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1E4AFA">
      <w:pPr>
        <w:spacing w:line="480" w:lineRule="auto"/>
        <w:jc w:val="center"/>
        <w:rPr>
          <w:rFonts w:ascii="Times New Roman" w:hAnsi="Times New Roman" w:cs="Times New Roman"/>
          <w:sz w:val="24"/>
          <w:szCs w:val="24"/>
        </w:rPr>
      </w:pPr>
    </w:p>
    <w:p w:rsidR="001E4AFA" w:rsidRDefault="001E4AFA" w:rsidP="00E651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Policy making is one of the key aspects that determine the health of a population. </w:t>
      </w:r>
      <w:r w:rsidR="00E65189">
        <w:rPr>
          <w:rFonts w:ascii="Times New Roman" w:hAnsi="Times New Roman" w:cs="Times New Roman"/>
          <w:sz w:val="24"/>
          <w:szCs w:val="24"/>
        </w:rPr>
        <w:t xml:space="preserve">The influence that policy has on the health of a population is very important due to the scope of influence that it has, both directly and indirectly. </w:t>
      </w:r>
      <w:r w:rsidR="00095B34">
        <w:rPr>
          <w:rFonts w:ascii="Times New Roman" w:hAnsi="Times New Roman" w:cs="Times New Roman"/>
          <w:sz w:val="24"/>
          <w:szCs w:val="24"/>
        </w:rPr>
        <w:t>Policy has a direct effect on the different aspects of both individual and community action in the health sector. Policy making is important because of the role it plays in driving intervention. Through guidelines and provision of resources, interventions in the public health sector are driven by policies. Policy making is also important due to the fact that it allow</w:t>
      </w:r>
      <w:r w:rsidR="008F57D8">
        <w:rPr>
          <w:rFonts w:ascii="Times New Roman" w:hAnsi="Times New Roman" w:cs="Times New Roman"/>
          <w:sz w:val="24"/>
          <w:szCs w:val="24"/>
        </w:rPr>
        <w:t>s public</w:t>
      </w:r>
      <w:r w:rsidR="00095B34">
        <w:rPr>
          <w:rFonts w:ascii="Times New Roman" w:hAnsi="Times New Roman" w:cs="Times New Roman"/>
          <w:sz w:val="24"/>
          <w:szCs w:val="24"/>
        </w:rPr>
        <w:t xml:space="preserve"> health to have a wider reach in terms of interventions and the projected impacts.</w:t>
      </w:r>
      <w:r w:rsidR="008F57D8">
        <w:rPr>
          <w:rFonts w:ascii="Times New Roman" w:hAnsi="Times New Roman" w:cs="Times New Roman"/>
          <w:sz w:val="24"/>
          <w:szCs w:val="24"/>
        </w:rPr>
        <w:t xml:space="preserve"> Policy making also allows for collection of crucial data on public health as well as allowing for adjustments where necessary</w:t>
      </w:r>
      <w:r w:rsidR="00141736">
        <w:rPr>
          <w:rFonts w:ascii="Times New Roman" w:hAnsi="Times New Roman" w:cs="Times New Roman"/>
          <w:sz w:val="24"/>
          <w:szCs w:val="24"/>
        </w:rPr>
        <w:t xml:space="preserve"> (</w:t>
      </w:r>
      <w:r w:rsidR="001075E5">
        <w:rPr>
          <w:rFonts w:ascii="Times New Roman" w:hAnsi="Times New Roman" w:cs="Times New Roman"/>
          <w:sz w:val="24"/>
          <w:szCs w:val="24"/>
        </w:rPr>
        <w:t>McEwen et al 2019).</w:t>
      </w:r>
      <w:r w:rsidR="00141736">
        <w:rPr>
          <w:rFonts w:ascii="Times New Roman" w:eastAsia="Times New Roman" w:hAnsi="Times New Roman" w:cs="Times New Roman"/>
          <w:color w:val="2D3B45"/>
          <w:sz w:val="24"/>
          <w:szCs w:val="24"/>
        </w:rPr>
        <w:t>)</w:t>
      </w:r>
      <w:r w:rsidR="008F57D8">
        <w:rPr>
          <w:rFonts w:ascii="Times New Roman" w:hAnsi="Times New Roman" w:cs="Times New Roman"/>
          <w:sz w:val="24"/>
          <w:szCs w:val="24"/>
        </w:rPr>
        <w:t>.</w:t>
      </w:r>
    </w:p>
    <w:p w:rsidR="00C601F7" w:rsidRDefault="00B72ECD" w:rsidP="00E651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Community health nurses have a unique disposition in terms of the role they play in addressing the different determinants of health. The caring relationship associated with the profession, together with the duality of their training on both individual and community health presents the unique disposition. </w:t>
      </w:r>
      <w:r w:rsidR="00FC04FA">
        <w:rPr>
          <w:rFonts w:ascii="Times New Roman" w:hAnsi="Times New Roman" w:cs="Times New Roman"/>
          <w:sz w:val="24"/>
          <w:szCs w:val="24"/>
        </w:rPr>
        <w:t xml:space="preserve">Surveillance is one of the main categories of interventions available in the Public Health Intervention Wheel. </w:t>
      </w:r>
      <w:r w:rsidR="00101F0F">
        <w:rPr>
          <w:rFonts w:ascii="Times New Roman" w:hAnsi="Times New Roman" w:cs="Times New Roman"/>
          <w:sz w:val="24"/>
          <w:szCs w:val="24"/>
        </w:rPr>
        <w:t>Policies need to customize to both individual and the community needs, so as to be able to maximize on impact. Community health nurses have an already established relationship that allows for surveillance on patterns and different determinants. They are in a position to influence the use of community health platforms that tare aimed at improve overall health status. Through surveillance, community health nurses can provide crucial data and information that will help improve policy making. Improving policy making is ultimately aimed at giving policies a positive influence on health</w:t>
      </w:r>
      <w:r w:rsidR="001075E5">
        <w:rPr>
          <w:rFonts w:ascii="Times New Roman" w:hAnsi="Times New Roman" w:cs="Times New Roman"/>
          <w:sz w:val="24"/>
          <w:szCs w:val="24"/>
        </w:rPr>
        <w:t xml:space="preserve"> (Kneippet al 2018</w:t>
      </w:r>
      <w:r w:rsidR="00141736">
        <w:rPr>
          <w:rFonts w:ascii="Times New Roman" w:hAnsi="Times New Roman" w:cs="Times New Roman"/>
          <w:sz w:val="24"/>
          <w:szCs w:val="24"/>
        </w:rPr>
        <w:t>)</w:t>
      </w:r>
      <w:r w:rsidR="00101F0F">
        <w:rPr>
          <w:rFonts w:ascii="Times New Roman" w:hAnsi="Times New Roman" w:cs="Times New Roman"/>
          <w:sz w:val="24"/>
          <w:szCs w:val="24"/>
        </w:rPr>
        <w:t>.</w:t>
      </w:r>
    </w:p>
    <w:p w:rsidR="00F54192" w:rsidRDefault="00F54192" w:rsidP="00E65189">
      <w:pPr>
        <w:spacing w:line="480" w:lineRule="auto"/>
        <w:ind w:firstLine="720"/>
        <w:rPr>
          <w:rFonts w:ascii="Times New Roman" w:hAnsi="Times New Roman" w:cs="Times New Roman"/>
          <w:sz w:val="24"/>
          <w:szCs w:val="24"/>
        </w:rPr>
      </w:pPr>
    </w:p>
    <w:p w:rsidR="00F54192" w:rsidRDefault="00F54192" w:rsidP="00E65189">
      <w:pPr>
        <w:spacing w:line="480" w:lineRule="auto"/>
        <w:ind w:firstLine="720"/>
        <w:rPr>
          <w:rFonts w:ascii="Times New Roman" w:hAnsi="Times New Roman" w:cs="Times New Roman"/>
          <w:sz w:val="24"/>
          <w:szCs w:val="24"/>
        </w:rPr>
      </w:pPr>
    </w:p>
    <w:p w:rsidR="00F54192" w:rsidRDefault="00F54192" w:rsidP="00FE37E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bookmarkStart w:id="0" w:name="_GoBack"/>
      <w:bookmarkEnd w:id="0"/>
    </w:p>
    <w:p w:rsidR="00A86C23" w:rsidRDefault="00FE37E1" w:rsidP="00A86C23">
      <w:pPr>
        <w:spacing w:line="480" w:lineRule="auto"/>
        <w:ind w:firstLine="720"/>
        <w:rPr>
          <w:rFonts w:ascii="Times New Roman" w:hAnsi="Times New Roman" w:cs="Times New Roman"/>
          <w:sz w:val="24"/>
          <w:szCs w:val="24"/>
        </w:rPr>
      </w:pPr>
      <w:r w:rsidRPr="00FE37E1">
        <w:rPr>
          <w:rFonts w:ascii="Times New Roman" w:hAnsi="Times New Roman" w:cs="Times New Roman"/>
          <w:color w:val="222222"/>
          <w:sz w:val="24"/>
          <w:szCs w:val="24"/>
          <w:shd w:val="clear" w:color="auto" w:fill="FFFFFF"/>
        </w:rPr>
        <w:t>Data from Issel, L. M., Bekemeier, B., &amp; Kneipp, S. (2018). Public and Community Health Nursing. </w:t>
      </w:r>
      <w:r w:rsidRPr="00FE37E1">
        <w:rPr>
          <w:rFonts w:ascii="Times New Roman" w:hAnsi="Times New Roman" w:cs="Times New Roman"/>
          <w:i/>
          <w:iCs/>
          <w:color w:val="222222"/>
          <w:sz w:val="24"/>
          <w:szCs w:val="24"/>
          <w:shd w:val="clear" w:color="auto" w:fill="FFFFFF"/>
        </w:rPr>
        <w:t>BOPOD-Community/Public Health Nursing: Promoting the Health of Populations</w:t>
      </w:r>
      <w:r w:rsidRPr="00FE37E1">
        <w:rPr>
          <w:rFonts w:ascii="Times New Roman" w:hAnsi="Times New Roman" w:cs="Times New Roman"/>
          <w:color w:val="222222"/>
          <w:sz w:val="24"/>
          <w:szCs w:val="24"/>
          <w:shd w:val="clear" w:color="auto" w:fill="FFFFFF"/>
        </w:rPr>
        <w:t>, 10.</w:t>
      </w:r>
    </w:p>
    <w:p w:rsidR="00465A50" w:rsidRPr="00A86C23" w:rsidRDefault="00465A50" w:rsidP="00A86C23">
      <w:pPr>
        <w:spacing w:line="480" w:lineRule="auto"/>
        <w:ind w:firstLine="720"/>
        <w:rPr>
          <w:rFonts w:ascii="Times New Roman" w:hAnsi="Times New Roman" w:cs="Times New Roman"/>
          <w:sz w:val="24"/>
          <w:szCs w:val="24"/>
        </w:rPr>
      </w:pPr>
      <w:r w:rsidRPr="00FE37E1">
        <w:rPr>
          <w:rFonts w:ascii="Times New Roman" w:eastAsia="Times New Roman" w:hAnsi="Times New Roman" w:cs="Times New Roman"/>
          <w:color w:val="2D3B45"/>
          <w:sz w:val="24"/>
          <w:szCs w:val="24"/>
        </w:rPr>
        <w:t>U.S. Department of Health and Human Services, Office of Disease Prevention and Health Promotion. (2018). </w:t>
      </w:r>
      <w:r w:rsidRPr="00FE37E1">
        <w:rPr>
          <w:rFonts w:ascii="Times New Roman" w:eastAsia="Times New Roman" w:hAnsi="Times New Roman" w:cs="Times New Roman"/>
          <w:i/>
          <w:iCs/>
          <w:color w:val="2D3B45"/>
          <w:sz w:val="24"/>
          <w:szCs w:val="24"/>
        </w:rPr>
        <w:t>Healthy People 2020: About Determinants of Health</w:t>
      </w:r>
      <w:r w:rsidRPr="00FE37E1">
        <w:rPr>
          <w:rFonts w:ascii="Times New Roman" w:eastAsia="Times New Roman" w:hAnsi="Times New Roman" w:cs="Times New Roman"/>
          <w:color w:val="2D3B45"/>
          <w:sz w:val="24"/>
          <w:szCs w:val="24"/>
        </w:rPr>
        <w:t xml:space="preserve">. Retrieved from </w:t>
      </w:r>
      <w:hyperlink r:id="rId6" w:history="1">
        <w:r w:rsidRPr="00FE37E1">
          <w:rPr>
            <w:rStyle w:val="Hyperlink"/>
            <w:rFonts w:ascii="Times New Roman" w:eastAsia="Times New Roman" w:hAnsi="Times New Roman" w:cs="Times New Roman"/>
            <w:sz w:val="24"/>
            <w:szCs w:val="24"/>
          </w:rPr>
          <w:t>https://www.healthypeople.gov/2020/about/foundation-health-measures/Determinants-of-Health</w:t>
        </w:r>
      </w:hyperlink>
    </w:p>
    <w:p w:rsidR="00465A50" w:rsidRPr="00FE37E1" w:rsidRDefault="00465A50" w:rsidP="00A86C23">
      <w:pPr>
        <w:shd w:val="clear" w:color="auto" w:fill="FFFFFF"/>
        <w:spacing w:before="180" w:after="0" w:line="240" w:lineRule="auto"/>
        <w:ind w:firstLine="720"/>
        <w:rPr>
          <w:rFonts w:ascii="Times New Roman" w:eastAsia="Times New Roman" w:hAnsi="Times New Roman" w:cs="Times New Roman"/>
          <w:color w:val="2D3B45"/>
          <w:sz w:val="24"/>
          <w:szCs w:val="24"/>
        </w:rPr>
      </w:pPr>
      <w:r w:rsidRPr="00FE37E1">
        <w:rPr>
          <w:rFonts w:ascii="Times New Roman" w:hAnsi="Times New Roman" w:cs="Times New Roman"/>
          <w:color w:val="000000"/>
          <w:sz w:val="24"/>
          <w:szCs w:val="24"/>
          <w:shd w:val="clear" w:color="auto" w:fill="FFFFFF"/>
        </w:rPr>
        <w:t>Nies, M. A., &amp; McEwen, M. (2019). </w:t>
      </w:r>
      <w:r w:rsidRPr="00FE37E1">
        <w:rPr>
          <w:rStyle w:val="Emphasis"/>
          <w:rFonts w:ascii="Times New Roman" w:hAnsi="Times New Roman" w:cs="Times New Roman"/>
          <w:color w:val="000000"/>
          <w:sz w:val="24"/>
          <w:szCs w:val="24"/>
          <w:shd w:val="clear" w:color="auto" w:fill="FFFFFF"/>
        </w:rPr>
        <w:t>Community/Public health nursing: Promoting the health of populations</w:t>
      </w:r>
      <w:r w:rsidRPr="00FE37E1">
        <w:rPr>
          <w:rFonts w:ascii="Times New Roman" w:hAnsi="Times New Roman" w:cs="Times New Roman"/>
          <w:color w:val="000000"/>
          <w:sz w:val="24"/>
          <w:szCs w:val="24"/>
          <w:shd w:val="clear" w:color="auto" w:fill="FFFFFF"/>
        </w:rPr>
        <w:t> (7th ed.). St. Louis, MO: Saunders/Elsevier.</w:t>
      </w:r>
    </w:p>
    <w:p w:rsidR="00F54192" w:rsidRPr="00FE37E1" w:rsidRDefault="00F54192" w:rsidP="00E65189">
      <w:pPr>
        <w:spacing w:line="480" w:lineRule="auto"/>
        <w:ind w:firstLine="720"/>
        <w:rPr>
          <w:rFonts w:ascii="Times New Roman" w:hAnsi="Times New Roman" w:cs="Times New Roman"/>
          <w:sz w:val="24"/>
          <w:szCs w:val="24"/>
        </w:rPr>
      </w:pPr>
    </w:p>
    <w:sectPr w:rsidR="00F54192" w:rsidRPr="00FE37E1" w:rsidSect="001E4A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E6D" w:rsidRDefault="004B4E6D" w:rsidP="001E4AFA">
      <w:pPr>
        <w:spacing w:after="0" w:line="240" w:lineRule="auto"/>
      </w:pPr>
      <w:r>
        <w:separator/>
      </w:r>
    </w:p>
  </w:endnote>
  <w:endnote w:type="continuationSeparator" w:id="0">
    <w:p w:rsidR="004B4E6D" w:rsidRDefault="004B4E6D" w:rsidP="001E4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E6D" w:rsidRDefault="004B4E6D" w:rsidP="001E4AFA">
      <w:pPr>
        <w:spacing w:after="0" w:line="240" w:lineRule="auto"/>
      </w:pPr>
      <w:r>
        <w:separator/>
      </w:r>
    </w:p>
  </w:footnote>
  <w:footnote w:type="continuationSeparator" w:id="0">
    <w:p w:rsidR="004B4E6D" w:rsidRDefault="004B4E6D" w:rsidP="001E4A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AFA" w:rsidRDefault="001E4AFA">
    <w:pPr>
      <w:pStyle w:val="Header"/>
      <w:jc w:val="right"/>
    </w:pPr>
    <w:r>
      <w:t>Determinants of Health</w:t>
    </w:r>
    <w:sdt>
      <w:sdtPr>
        <w:id w:val="-63048057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A1333B">
          <w:rPr>
            <w:noProof/>
          </w:rPr>
          <w:t>3</w:t>
        </w:r>
        <w:r>
          <w:rPr>
            <w:noProof/>
          </w:rPr>
          <w:fldChar w:fldCharType="end"/>
        </w:r>
      </w:sdtContent>
    </w:sdt>
  </w:p>
  <w:p w:rsidR="001E4AFA" w:rsidRDefault="001E4A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AFA" w:rsidRDefault="001E4AFA">
    <w:pPr>
      <w:pStyle w:val="Header"/>
      <w:jc w:val="right"/>
    </w:pPr>
    <w:r>
      <w:t xml:space="preserve">Running Head: Determinants of Health </w:t>
    </w:r>
    <w:sdt>
      <w:sdtPr>
        <w:id w:val="31977945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A86C23">
          <w:rPr>
            <w:noProof/>
          </w:rPr>
          <w:t>1</w:t>
        </w:r>
        <w:r>
          <w:rPr>
            <w:noProof/>
          </w:rPr>
          <w:fldChar w:fldCharType="end"/>
        </w:r>
      </w:sdtContent>
    </w:sdt>
  </w:p>
  <w:p w:rsidR="001E4AFA" w:rsidRDefault="001E4A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AFA"/>
    <w:rsid w:val="00090FBF"/>
    <w:rsid w:val="00095B34"/>
    <w:rsid w:val="000A40E5"/>
    <w:rsid w:val="00101F0F"/>
    <w:rsid w:val="001075E5"/>
    <w:rsid w:val="00141736"/>
    <w:rsid w:val="001E4AFA"/>
    <w:rsid w:val="00465A50"/>
    <w:rsid w:val="004B4E6D"/>
    <w:rsid w:val="00816A4A"/>
    <w:rsid w:val="008634E7"/>
    <w:rsid w:val="00883D00"/>
    <w:rsid w:val="008F57D8"/>
    <w:rsid w:val="00A1333B"/>
    <w:rsid w:val="00A86C23"/>
    <w:rsid w:val="00B72ECD"/>
    <w:rsid w:val="00C601F7"/>
    <w:rsid w:val="00E65189"/>
    <w:rsid w:val="00F12FE6"/>
    <w:rsid w:val="00F54192"/>
    <w:rsid w:val="00FC04FA"/>
    <w:rsid w:val="00FE3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ECBF08-08B2-4B4F-8AAB-741F725DD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AFA"/>
  </w:style>
  <w:style w:type="paragraph" w:styleId="Footer">
    <w:name w:val="footer"/>
    <w:basedOn w:val="Normal"/>
    <w:link w:val="FooterChar"/>
    <w:uiPriority w:val="99"/>
    <w:unhideWhenUsed/>
    <w:rsid w:val="001E4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AFA"/>
  </w:style>
  <w:style w:type="character" w:styleId="Emphasis">
    <w:name w:val="Emphasis"/>
    <w:basedOn w:val="DefaultParagraphFont"/>
    <w:uiPriority w:val="20"/>
    <w:qFormat/>
    <w:rsid w:val="00465A50"/>
    <w:rPr>
      <w:i/>
      <w:iCs/>
    </w:rPr>
  </w:style>
  <w:style w:type="character" w:styleId="Hyperlink">
    <w:name w:val="Hyperlink"/>
    <w:basedOn w:val="DefaultParagraphFont"/>
    <w:uiPriority w:val="99"/>
    <w:unhideWhenUsed/>
    <w:rsid w:val="00465A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ypeople.gov/2020/about/foundation-health-measures/Determinants-of-Healt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timothy juma</cp:lastModifiedBy>
  <cp:revision>2</cp:revision>
  <dcterms:created xsi:type="dcterms:W3CDTF">2019-01-04T20:22:00Z</dcterms:created>
  <dcterms:modified xsi:type="dcterms:W3CDTF">2019-01-04T20:22:00Z</dcterms:modified>
</cp:coreProperties>
</file>